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17" w:firstLine="0" w:firstLineChars="0"/>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5.976/2026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90.048/2026</w:t>
      </w:r>
      <w:r>
        <w:rPr>
          <w:rFonts w:ascii="Arial" w:hAnsi="Arial" w:cs="Arial"/>
          <w:sz w:val="22"/>
          <w:szCs w:val="22"/>
          <w:highlight w:val="none"/>
        </w:rPr>
        <w:t xml:space="preserve">, </w:t>
      </w:r>
      <w:r>
        <w:rPr>
          <w:rFonts w:ascii="Arial" w:hAnsi="Arial" w:cs="Arial"/>
          <w:sz w:val="22"/>
          <w:szCs w:val="22"/>
        </w:rPr>
        <w:t>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w:t>
      </w:r>
      <w:r>
        <w:rPr>
          <w:rFonts w:hint="default" w:ascii="Arial" w:hAnsi="Arial" w:cs="Arial"/>
          <w:bCs/>
          <w:iCs/>
        </w:rPr>
        <w:t xml:space="preserve"> </w:t>
      </w:r>
      <w:r>
        <w:rPr>
          <w:rFonts w:hint="default" w:ascii="Arial" w:hAnsi="Arial" w:cs="Arial"/>
          <w:b/>
          <w:bCs w:val="0"/>
          <w:iCs/>
        </w:rPr>
        <w:t>EMPRESA ESPECIALIZADA PARA O FORNECIMENTO</w:t>
      </w:r>
      <w:r>
        <w:rPr>
          <w:rFonts w:hint="default" w:ascii="Arial" w:hAnsi="Arial" w:cs="Arial"/>
          <w:b/>
          <w:bCs w:val="0"/>
          <w:iCs/>
          <w:lang w:val="pt-BR"/>
        </w:rPr>
        <w:t xml:space="preserve"> DE CIMENTO ASFÁLTICO DE PETRÓLEO (CAP 50/70), </w:t>
      </w:r>
      <w:r>
        <w:rPr>
          <w:rFonts w:hint="default" w:ascii="Arial" w:hAnsi="Arial" w:cs="Arial"/>
          <w:b/>
          <w:bCs w:val="0"/>
          <w:iCs/>
        </w:rPr>
        <w:t>PARA ATENDER AS NECESSIDADES DA SECRETARIA DE INFRAESTRUTURA E OBRAS</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bookmarkStart w:id="16" w:name="_GoBack"/>
      <w:bookmarkEnd w:id="16"/>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 xml:space="preserve">MODELO DE EXECUÇÃO DO OBJETO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O fornecimento do material será efetuado conforme conveniência e necessidade, a serem determinados pela </w:t>
      </w:r>
      <w:r>
        <w:rPr>
          <w:rFonts w:hint="default" w:ascii="Arial" w:hAnsi="Arial" w:cs="Arial"/>
          <w:b/>
          <w:bCs w:val="0"/>
          <w:iCs/>
          <w:lang w:val="pt-BR"/>
        </w:rPr>
        <w:t>Secretaria de Infraestrutura e Obras</w:t>
      </w:r>
      <w:r>
        <w:rPr>
          <w:rFonts w:hint="default" w:ascii="Arial" w:hAnsi="Arial" w:cs="Arial"/>
          <w:bCs/>
          <w:iCs/>
          <w:lang w:val="pt-BR"/>
        </w:rPr>
        <w:t>, mediante emissão da Nota de Empenho e será orientada através do documento de solicitação enviado a Contratada através de e-mail.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A entrega será orientada através do documento de solicitação enviado a Contratada através de e-mail.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 O prazo de entrega será de </w:t>
      </w:r>
      <w:r>
        <w:rPr>
          <w:rFonts w:hint="default" w:ascii="Arial" w:hAnsi="Arial" w:cs="Arial"/>
          <w:b/>
          <w:bCs w:val="0"/>
          <w:iCs/>
          <w:lang w:val="pt-BR"/>
        </w:rPr>
        <w:t>72hs (setenta e duas) horas</w:t>
      </w:r>
      <w:r>
        <w:rPr>
          <w:rFonts w:hint="default" w:ascii="Arial" w:hAnsi="Arial" w:cs="Arial"/>
          <w:bCs/>
          <w:iCs/>
          <w:lang w:val="pt-BR"/>
        </w:rPr>
        <w:t>, contados do dia seguinte ao recebimento da Nota de Empenho ou documento equivalente.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 material deverá ser entregue (descarregado) na Usina de Asfalto da PMNF, localizado no Alto da Chácara do Paraíso, no Km 2,0 da RJ-150 (Estrada de Amparo) - Nova Friburgo/RJ.</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3.1.5 A quantidade mínima para cada carregamento será de um caminhão com capacidade de </w:t>
      </w:r>
      <w:r>
        <w:rPr>
          <w:rFonts w:hint="default" w:ascii="Arial" w:hAnsi="Arial" w:cs="Arial"/>
          <w:b/>
          <w:bCs w:val="0"/>
          <w:iCs/>
          <w:lang w:val="pt-BR"/>
        </w:rPr>
        <w:t>25 toneladas.</w:t>
      </w:r>
    </w:p>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Cs/>
          <w:iCs/>
          <w:lang w:val="pt-BR"/>
        </w:rPr>
        <w:t xml:space="preserve"> 3.1.6 O horário de entrega deverá ser realizado de</w:t>
      </w:r>
      <w:r>
        <w:rPr>
          <w:rFonts w:hint="default" w:ascii="Arial" w:hAnsi="Arial" w:cs="Arial"/>
          <w:b/>
          <w:bCs w:val="0"/>
          <w:iCs/>
          <w:lang w:val="pt-BR"/>
        </w:rPr>
        <w:t xml:space="preserve"> segunda à sexta-feira de 07:00 às 14:00 horas;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Os bens serão recebidos provisoriamente, de forma sumária, no prazo de 02(dois) dias,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Os bens poderão ser rejeitados, no todo ou em parte, quando em desacordo com as especificações constantes no Termo de Referência e na proposta, devendo ser substituídos no prazo de 02(dois)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3.1.10 Os bens poderão ser rejeitados, no todo ou em parte, quando em desacordo com as especificações constantes no Termo de Referência e na proposta, devendo ser substituídos no prazo de 02(dois)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Os bens serão recebidos definitivamente no prazo de 05 (cinco) dias,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3.1.13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 xml:space="preserve">MODELO DE GESTÃO DO CONTRATO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3" w:name="art115§5"/>
      <w:bookmarkEnd w:id="3"/>
      <w:bookmarkStart w:id="4" w:name="art115§1"/>
      <w:bookmarkEnd w:id="4"/>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16"/>
      <w:bookmarkEnd w:id="5"/>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7§2"/>
      <w:bookmarkEnd w:id="6"/>
      <w:r>
        <w:rPr>
          <w:rFonts w:hint="default" w:ascii="Arial" w:hAnsi="Arial" w:cs="Arial"/>
          <w:bCs/>
          <w:iCs/>
          <w:lang w:val="pt-BR"/>
        </w:rPr>
        <w:t>3.2.5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0"/>
      <w:bookmarkEnd w:id="7"/>
      <w:r>
        <w:rPr>
          <w:rFonts w:hint="default" w:ascii="Arial" w:hAnsi="Arial" w:cs="Arial"/>
          <w:bCs/>
          <w:iCs/>
          <w:lang w:val="pt-BR"/>
        </w:rPr>
        <w:t>3.2.7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1"/>
      <w:bookmarkEnd w:id="8"/>
      <w:r>
        <w:rPr>
          <w:rFonts w:hint="default" w:ascii="Arial" w:hAnsi="Arial" w:cs="Arial"/>
          <w:bCs/>
          <w:iCs/>
          <w:lang w:val="pt-BR"/>
        </w:rPr>
        <w:t>3.2.8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1"/>
      <w:bookmarkEnd w:id="9"/>
      <w:r>
        <w:rPr>
          <w:rFonts w:hint="default" w:ascii="Arial" w:hAnsi="Arial" w:cs="Arial"/>
          <w:bCs/>
          <w:iCs/>
          <w:lang w:val="pt-BR"/>
        </w:rPr>
        <w:t>3.2.9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2§3"/>
      <w:bookmarkEnd w:id="10"/>
      <w:bookmarkStart w:id="11" w:name="art123"/>
      <w:bookmarkEnd w:id="11"/>
      <w:bookmarkStart w:id="12" w:name="art122§1"/>
      <w:bookmarkEnd w:id="12"/>
      <w:bookmarkStart w:id="13" w:name="art122"/>
      <w:bookmarkEnd w:id="13"/>
      <w:bookmarkStart w:id="14" w:name="art122§2"/>
      <w:bookmarkEnd w:id="14"/>
      <w:r>
        <w:rPr>
          <w:rFonts w:hint="default" w:ascii="Arial" w:hAnsi="Arial" w:cs="Arial"/>
          <w:bCs/>
          <w:iCs/>
          <w:lang w:val="pt-BR"/>
        </w:rPr>
        <w:t>3.2.10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3.2.13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3.2.14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3.2.15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3.2.16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3.2.17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3.2.18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 A Nota Fiscal deverá ser emitida em nome de: </w:t>
      </w:r>
      <w:r>
        <w:rPr>
          <w:rFonts w:hint="default" w:ascii="Arial" w:hAnsi="Arial" w:cs="Arial" w:eastAsiaTheme="majorEastAsia"/>
          <w:b/>
          <w:bCs/>
          <w:lang w:val="en-US" w:eastAsia="pt-BR"/>
        </w:rPr>
        <w:t>MUNICÍPIO DE NOVA FRIBURGO,</w:t>
      </w:r>
      <w:r>
        <w:rPr>
          <w:rFonts w:hint="default" w:ascii="Arial" w:hAnsi="Arial" w:cs="Arial" w:eastAsiaTheme="majorEastAsia"/>
          <w:b w:val="0"/>
          <w:bCs w:val="0"/>
          <w:lang w:val="en-US" w:eastAsia="pt-BR"/>
        </w:rPr>
        <w:t xml:space="preserve"> CNPJ: 28.606.630/0001-23, Endereço: </w:t>
      </w:r>
      <w:r>
        <w:rPr>
          <w:rFonts w:hint="default" w:ascii="Arial" w:hAnsi="Arial" w:cs="Arial" w:eastAsiaTheme="majorEastAsia"/>
          <w:b/>
          <w:bCs/>
          <w:lang w:val="en-US" w:eastAsia="pt-BR"/>
        </w:rPr>
        <w:t>AVENIDA ALBERTO BRAUNE, 225, CENTRO, NOVA FRIBURGO - RJ</w:t>
      </w:r>
      <w:r>
        <w:rPr>
          <w:rFonts w:hint="default" w:ascii="Arial" w:hAnsi="Arial" w:cs="Arial" w:eastAsiaTheme="majorEastAsia"/>
          <w:b w:val="0"/>
          <w:bCs w:val="0"/>
          <w:lang w:val="en-US" w:eastAsia="pt-BR"/>
        </w:rPr>
        <w:t xml:space="preserve">, CEP: </w:t>
      </w:r>
      <w:r>
        <w:rPr>
          <w:rFonts w:hint="default" w:ascii="Arial" w:hAnsi="Arial" w:cs="Arial" w:eastAsiaTheme="majorEastAsia"/>
          <w:b/>
          <w:bCs/>
          <w:lang w:val="en-US" w:eastAsia="pt-BR"/>
        </w:rPr>
        <w:t>28613-001</w:t>
      </w:r>
      <w:r>
        <w:rPr>
          <w:rFonts w:hint="default" w:ascii="Arial" w:hAnsi="Arial" w:cs="Arial" w:eastAsiaTheme="majorEastAsia"/>
          <w:b w:val="0"/>
          <w:bCs w:val="0"/>
          <w:lang w:val="en-US" w:eastAsia="pt-BR"/>
        </w:rPr>
        <w:t>.</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O fornecimento do material será efetuado conforme conveniência e necessidade, a serem determinados pela </w:t>
      </w:r>
      <w:r>
        <w:rPr>
          <w:rFonts w:hint="default" w:ascii="Arial" w:hAnsi="Arial" w:cs="Arial" w:eastAsiaTheme="majorEastAsia"/>
          <w:b/>
          <w:bCs/>
          <w:lang w:val="en-US" w:eastAsia="pt-BR"/>
        </w:rPr>
        <w:t>Secretaria de Infraestrutura e Obras</w:t>
      </w:r>
      <w:r>
        <w:rPr>
          <w:rFonts w:hint="default" w:ascii="Arial" w:hAnsi="Arial" w:cs="Arial" w:eastAsiaTheme="majorEastAsia"/>
          <w:b w:val="0"/>
          <w:bCs w:val="0"/>
          <w:lang w:val="en-US" w:eastAsia="pt-BR"/>
        </w:rPr>
        <w:t xml:space="preserve">, mediante emissão da nota de empenho.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 Será de exclusiva responsabilidade financeira e operacional da empresa contratada a manutenção de equipamentos e de funcionários necessários para entrega do produto;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w:t>
      </w:r>
      <w:r>
        <w:rPr>
          <w:rFonts w:hint="default" w:ascii="Arial" w:hAnsi="Arial" w:cs="Arial" w:eastAsiaTheme="majorEastAsia"/>
          <w:b w:val="0"/>
          <w:bCs w:val="0"/>
          <w:u w:val="single"/>
          <w:lang w:val="en-US" w:eastAsia="pt-BR"/>
        </w:rPr>
        <w:t xml:space="preserve"> 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6.4.1 A liquidação será realizada pela Secretaria de Fazenda, a partir do cumprimento das obrigações elencadas no Termo de Referência, em obediência ao Decreto nº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6.5 </w:t>
      </w:r>
      <w:r>
        <w:rPr>
          <w:rFonts w:hint="default" w:ascii="Arial" w:hAnsi="Arial" w:cs="Arial" w:eastAsiaTheme="majorEastAsia"/>
          <w:b w:val="0"/>
          <w:bCs w:val="0"/>
          <w:u w:val="single"/>
          <w:lang w:val="en-US" w:eastAsia="pt-BR"/>
        </w:rPr>
        <w:t>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6.5.1 O pagamento será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6.5.2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6.5.3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6.5.4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6.5.5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6.5.6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17"/>
        <w:tblW w:w="9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8"/>
        <w:gridCol w:w="2861"/>
        <w:gridCol w:w="1909"/>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2488"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2861"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909"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2147"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488" w:type="dxa"/>
            <w:shd w:val="clear" w:color="auto" w:fill="auto"/>
            <w:tcMar>
              <w:left w:w="108" w:type="dxa"/>
            </w:tcMar>
            <w:vAlign w:val="top"/>
          </w:tcPr>
          <w:p>
            <w:pPr>
              <w:pStyle w:val="34"/>
              <w:keepNext/>
              <w:keepLines/>
              <w:pageBreakBefore w:val="0"/>
              <w:widowControl/>
              <w:numPr>
                <w:ilvl w:val="0"/>
                <w:numId w:val="0"/>
              </w:numPr>
              <w:tabs>
                <w:tab w:val="left" w:pos="284"/>
                <w:tab w:val="left" w:pos="993"/>
              </w:tabs>
              <w:kinsoku/>
              <w:wordWrap/>
              <w:overflowPunct/>
              <w:topLinePunct w:val="0"/>
              <w:autoSpaceDE/>
              <w:autoSpaceDN/>
              <w:bidi w:val="0"/>
              <w:adjustRightInd/>
              <w:snapToGrid/>
              <w:spacing w:line="276" w:lineRule="auto"/>
              <w:ind w:leftChars="0"/>
              <w:jc w:val="left"/>
              <w:textAlignment w:val="auto"/>
              <w:rPr>
                <w:rFonts w:hint="default" w:ascii="Arial" w:hAnsi="Arial" w:cs="Arial"/>
                <w:b w:val="0"/>
                <w:bCs w:val="0"/>
                <w:sz w:val="22"/>
                <w:szCs w:val="22"/>
                <w:lang w:val="pt-BR"/>
              </w:rPr>
            </w:pPr>
            <w:r>
              <w:rPr>
                <w:rFonts w:hint="default" w:ascii="Arial" w:hAnsi="Arial" w:cs="Arial"/>
                <w:b w:val="0"/>
                <w:bCs w:val="0"/>
                <w:sz w:val="22"/>
                <w:szCs w:val="22"/>
                <w:lang w:val="pt-BR"/>
              </w:rPr>
              <w:t>Secretaria de Infraestrutura e Obras</w:t>
            </w:r>
          </w:p>
        </w:tc>
        <w:tc>
          <w:tcPr>
            <w:tcW w:w="2861" w:type="dxa"/>
            <w:shd w:val="clear" w:color="auto" w:fill="auto"/>
            <w:tcMar>
              <w:left w:w="108" w:type="dxa"/>
            </w:tcMa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16 002 15 452 0018 2.103</w:t>
            </w:r>
          </w:p>
        </w:tc>
        <w:tc>
          <w:tcPr>
            <w:tcW w:w="1909"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4.4.9.0.51.04</w:t>
            </w:r>
          </w:p>
        </w:tc>
        <w:tc>
          <w:tcPr>
            <w:tcW w:w="2147"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172000000017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auto"/>
            <w:tcMar>
              <w:left w:w="108" w:type="dxa"/>
            </w:tcMar>
            <w:vAlign w:val="top"/>
          </w:tcPr>
          <w:p>
            <w:pPr>
              <w:pStyle w:val="34"/>
              <w:keepNext/>
              <w:keepLines/>
              <w:pageBreakBefore w:val="0"/>
              <w:widowControl/>
              <w:numPr>
                <w:ilvl w:val="0"/>
                <w:numId w:val="0"/>
              </w:numPr>
              <w:tabs>
                <w:tab w:val="left" w:pos="284"/>
                <w:tab w:val="left" w:pos="993"/>
              </w:tabs>
              <w:kinsoku/>
              <w:wordWrap/>
              <w:overflowPunct/>
              <w:topLinePunct w:val="0"/>
              <w:autoSpaceDE/>
              <w:autoSpaceDN/>
              <w:bidi w:val="0"/>
              <w:adjustRightInd/>
              <w:snapToGrid/>
              <w:spacing w:line="276" w:lineRule="auto"/>
              <w:ind w:leftChars="0"/>
              <w:jc w:val="left"/>
              <w:textAlignment w:val="auto"/>
              <w:rPr>
                <w:rFonts w:hint="default" w:ascii="Arial" w:hAnsi="Arial" w:cs="Arial"/>
                <w:b w:val="0"/>
                <w:bCs w:val="0"/>
                <w:sz w:val="22"/>
                <w:szCs w:val="22"/>
                <w:lang w:val="pt-BR"/>
              </w:rPr>
            </w:pPr>
            <w:r>
              <w:rPr>
                <w:rFonts w:hint="default" w:ascii="Arial" w:hAnsi="Arial" w:cs="Arial"/>
                <w:b w:val="0"/>
                <w:bCs w:val="0"/>
                <w:sz w:val="22"/>
                <w:szCs w:val="22"/>
                <w:lang w:val="pt-BR"/>
              </w:rPr>
              <w:t>Secretaria de Infraestrutura e Obras</w:t>
            </w:r>
          </w:p>
        </w:tc>
        <w:tc>
          <w:tcPr>
            <w:tcW w:w="2861" w:type="dxa"/>
            <w:shd w:val="clear" w:color="auto" w:fill="auto"/>
            <w:tcMar>
              <w:left w:w="108" w:type="dxa"/>
            </w:tcMa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16 002 15 452 0018 2.103</w:t>
            </w:r>
          </w:p>
        </w:tc>
        <w:tc>
          <w:tcPr>
            <w:tcW w:w="1909"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4.4.9.0.51.04</w:t>
            </w:r>
          </w:p>
        </w:tc>
        <w:tc>
          <w:tcPr>
            <w:tcW w:w="2147"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170500000020</w:t>
            </w:r>
          </w:p>
        </w:tc>
      </w:tr>
    </w:tbl>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3255" cy="903605"/>
          <wp:effectExtent l="0" t="0" r="0" b="0"/>
          <wp:docPr id="1" name="Imagem 1" descr="Secretaria de Infraestrutura e 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Infraestrutura e Obras"/>
                  <pic:cNvPicPr>
                    <a:picLocks noChangeAspect="1"/>
                  </pic:cNvPicPr>
                </pic:nvPicPr>
                <pic:blipFill>
                  <a:blip r:embed="rId1"/>
                  <a:stretch>
                    <a:fillRect/>
                  </a:stretch>
                </pic:blipFill>
                <pic:spPr>
                  <a:xfrm>
                    <a:off x="0" y="0"/>
                    <a:ext cx="5723255" cy="90360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10620376"/>
    <w:rsid w:val="11883E19"/>
    <w:rsid w:val="11CC2ACE"/>
    <w:rsid w:val="1AF72D93"/>
    <w:rsid w:val="1D7568C8"/>
    <w:rsid w:val="1FD12E07"/>
    <w:rsid w:val="2EA0406C"/>
    <w:rsid w:val="30DC7764"/>
    <w:rsid w:val="363B5C17"/>
    <w:rsid w:val="3A2F2421"/>
    <w:rsid w:val="3C4D19A5"/>
    <w:rsid w:val="3C9967A2"/>
    <w:rsid w:val="3C9C5390"/>
    <w:rsid w:val="3D361311"/>
    <w:rsid w:val="3D3C1E4C"/>
    <w:rsid w:val="501F24D5"/>
    <w:rsid w:val="53621F4C"/>
    <w:rsid w:val="53A66766"/>
    <w:rsid w:val="5434244F"/>
    <w:rsid w:val="567145BB"/>
    <w:rsid w:val="5C237373"/>
    <w:rsid w:val="5C610178"/>
    <w:rsid w:val="5F170400"/>
    <w:rsid w:val="623C6820"/>
    <w:rsid w:val="64270F68"/>
    <w:rsid w:val="655965EF"/>
    <w:rsid w:val="68532C20"/>
    <w:rsid w:val="749B1192"/>
    <w:rsid w:val="77B2358A"/>
    <w:rsid w:val="7E3002A0"/>
    <w:rsid w:val="7F5375A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7</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2026-05-21T16:34:07Z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